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1B" w:rsidRDefault="00945B1B" w:rsidP="00945B1B">
      <w:pPr>
        <w:jc w:val="both"/>
        <w:rPr>
          <w:rFonts w:ascii="Arial" w:hAnsi="Arial" w:cs="Arial"/>
          <w:b/>
          <w:sz w:val="28"/>
          <w:szCs w:val="28"/>
        </w:rPr>
      </w:pPr>
      <w:bookmarkStart w:id="0" w:name="_GoBack"/>
      <w:bookmarkEnd w:id="0"/>
      <w:r>
        <w:rPr>
          <w:noProof/>
          <w:lang w:eastAsia="de-DE"/>
        </w:rPr>
        <w:drawing>
          <wp:anchor distT="0" distB="0" distL="114300" distR="114300" simplePos="0" relativeHeight="251659264" behindDoc="0" locked="0" layoutInCell="1" allowOverlap="1" wp14:anchorId="163570AD" wp14:editId="1B30605C">
            <wp:simplePos x="0" y="0"/>
            <wp:positionH relativeFrom="margin">
              <wp:posOffset>2672080</wp:posOffset>
            </wp:positionH>
            <wp:positionV relativeFrom="paragraph">
              <wp:posOffset>161925</wp:posOffset>
            </wp:positionV>
            <wp:extent cx="2486025" cy="429895"/>
            <wp:effectExtent l="0" t="0" r="9525" b="8255"/>
            <wp:wrapTopAndBottom/>
            <wp:docPr id="3" name="Grafik 3" descr="NRW_W_quer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RW_W_quer_l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429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29ED7626" wp14:editId="15DA69A6">
            <wp:simplePos x="0" y="0"/>
            <wp:positionH relativeFrom="column">
              <wp:posOffset>0</wp:posOffset>
            </wp:positionH>
            <wp:positionV relativeFrom="paragraph">
              <wp:posOffset>209550</wp:posOffset>
            </wp:positionV>
            <wp:extent cx="1944370" cy="393065"/>
            <wp:effectExtent l="0" t="0" r="0" b="6985"/>
            <wp:wrapTopAndBottom/>
            <wp:docPr id="2" name="Grafik 2" descr="BA_Logo_farbe_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_Logo_farbe_2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370" cy="393065"/>
                    </a:xfrm>
                    <a:prstGeom prst="rect">
                      <a:avLst/>
                    </a:prstGeom>
                    <a:noFill/>
                  </pic:spPr>
                </pic:pic>
              </a:graphicData>
            </a:graphic>
            <wp14:sizeRelH relativeFrom="page">
              <wp14:pctWidth>0</wp14:pctWidth>
            </wp14:sizeRelH>
            <wp14:sizeRelV relativeFrom="page">
              <wp14:pctHeight>0</wp14:pctHeight>
            </wp14:sizeRelV>
          </wp:anchor>
        </w:drawing>
      </w:r>
    </w:p>
    <w:p w:rsidR="00945B1B" w:rsidRPr="0026079B" w:rsidRDefault="00945B1B" w:rsidP="00945B1B">
      <w:pPr>
        <w:pStyle w:val="Pa1"/>
        <w:spacing w:before="160" w:after="40"/>
        <w:rPr>
          <w:color w:val="000000"/>
          <w:sz w:val="28"/>
          <w:szCs w:val="28"/>
        </w:rPr>
      </w:pPr>
      <w:r w:rsidRPr="0026079B">
        <w:rPr>
          <w:b/>
          <w:bCs/>
          <w:color w:val="000000"/>
          <w:sz w:val="28"/>
          <w:szCs w:val="28"/>
        </w:rPr>
        <w:t xml:space="preserve">Kinderzuschlag </w:t>
      </w:r>
    </w:p>
    <w:p w:rsidR="00945B1B" w:rsidRDefault="00945B1B" w:rsidP="00945B1B">
      <w:pPr>
        <w:pStyle w:val="Pa2"/>
        <w:spacing w:after="40"/>
        <w:rPr>
          <w:color w:val="000000"/>
          <w:sz w:val="20"/>
          <w:szCs w:val="20"/>
        </w:rPr>
      </w:pPr>
    </w:p>
    <w:p w:rsidR="00945B1B" w:rsidRDefault="00945B1B" w:rsidP="00945B1B">
      <w:pPr>
        <w:pStyle w:val="Pa2"/>
        <w:spacing w:after="40"/>
        <w:rPr>
          <w:color w:val="000000"/>
          <w:sz w:val="20"/>
          <w:szCs w:val="20"/>
        </w:rPr>
      </w:pPr>
      <w:r w:rsidRPr="00315FD7">
        <w:rPr>
          <w:color w:val="000000"/>
          <w:sz w:val="20"/>
          <w:szCs w:val="20"/>
        </w:rPr>
        <w:t xml:space="preserve">Den Kinderzuschlag bekommen Eltern, die genug verdienen, um für sich selbst zu sorgen, das Einkommen aber nicht oder nur knapp für die gesamte Familie reicht. </w:t>
      </w:r>
      <w:r>
        <w:rPr>
          <w:color w:val="000000"/>
          <w:sz w:val="20"/>
          <w:szCs w:val="20"/>
        </w:rPr>
        <w:t xml:space="preserve">Der </w:t>
      </w:r>
      <w:r w:rsidRPr="00315FD7">
        <w:rPr>
          <w:color w:val="000000"/>
          <w:sz w:val="20"/>
          <w:szCs w:val="20"/>
        </w:rPr>
        <w:t>Kinderzuschlag</w:t>
      </w:r>
      <w:r>
        <w:rPr>
          <w:color w:val="000000"/>
          <w:sz w:val="20"/>
          <w:szCs w:val="20"/>
        </w:rPr>
        <w:t xml:space="preserve"> trägt</w:t>
      </w:r>
      <w:r w:rsidRPr="00315FD7">
        <w:rPr>
          <w:color w:val="000000"/>
          <w:sz w:val="20"/>
          <w:szCs w:val="20"/>
        </w:rPr>
        <w:t xml:space="preserve"> zur wirtschaftlichen Stabilität von Familien im Niedrigeinkommensbereich bei. Wie viel Geld Sie als Familie tatsächlich erhalten, hängt von Ihrem Einkommen und Vermögen, dem Ihres Partners und Ihrer Kinder ab.</w:t>
      </w:r>
    </w:p>
    <w:p w:rsidR="00945B1B" w:rsidRDefault="00945B1B" w:rsidP="00945B1B">
      <w:pPr>
        <w:rPr>
          <w:rFonts w:ascii="Arial" w:hAnsi="Arial" w:cs="Arial"/>
          <w:sz w:val="20"/>
          <w:szCs w:val="20"/>
        </w:rPr>
      </w:pPr>
    </w:p>
    <w:p w:rsidR="00945B1B" w:rsidRPr="00315FD7" w:rsidRDefault="00945B1B" w:rsidP="00945B1B">
      <w:pPr>
        <w:pStyle w:val="Pa2"/>
        <w:spacing w:after="40"/>
        <w:rPr>
          <w:color w:val="000000"/>
        </w:rPr>
      </w:pPr>
      <w:r w:rsidRPr="00315FD7">
        <w:rPr>
          <w:b/>
          <w:bCs/>
          <w:color w:val="000000"/>
        </w:rPr>
        <w:t>Zusätzliche Vorteile des Kinderzuschlags</w:t>
      </w:r>
    </w:p>
    <w:p w:rsidR="00945B1B" w:rsidRPr="00315FD7" w:rsidRDefault="00945B1B" w:rsidP="00945B1B">
      <w:pPr>
        <w:pStyle w:val="Pa2"/>
        <w:spacing w:after="40"/>
        <w:rPr>
          <w:color w:val="000000"/>
          <w:sz w:val="20"/>
          <w:szCs w:val="20"/>
        </w:rPr>
      </w:pPr>
      <w:r w:rsidRPr="00315FD7">
        <w:rPr>
          <w:color w:val="000000"/>
          <w:sz w:val="20"/>
          <w:szCs w:val="20"/>
        </w:rPr>
        <w:t xml:space="preserve">Auch wenn nur ein kleiner Kinderzuschlag gezahlt wird, besteht ein Anspruch auf </w:t>
      </w:r>
      <w:r w:rsidRPr="00315FD7">
        <w:rPr>
          <w:b/>
          <w:bCs/>
          <w:color w:val="000000"/>
          <w:sz w:val="20"/>
          <w:szCs w:val="20"/>
        </w:rPr>
        <w:t xml:space="preserve">Leistungen für Bildung und Teilhabe </w:t>
      </w:r>
      <w:r w:rsidRPr="00315FD7">
        <w:rPr>
          <w:color w:val="000000"/>
          <w:sz w:val="20"/>
          <w:szCs w:val="20"/>
        </w:rPr>
        <w:t xml:space="preserve">und Sie müssen </w:t>
      </w:r>
      <w:r w:rsidRPr="00315FD7">
        <w:rPr>
          <w:b/>
          <w:bCs/>
          <w:color w:val="000000"/>
          <w:sz w:val="20"/>
          <w:szCs w:val="20"/>
        </w:rPr>
        <w:t xml:space="preserve">keine KiTa-Gebühren </w:t>
      </w:r>
      <w:r w:rsidRPr="00315FD7">
        <w:rPr>
          <w:color w:val="000000"/>
          <w:sz w:val="20"/>
          <w:szCs w:val="20"/>
        </w:rPr>
        <w:t xml:space="preserve">zahlen. Die Leistungen für Bildung und Teilhabe beantragen Sie bitte bei der für Sie </w:t>
      </w:r>
      <w:r w:rsidRPr="00315FD7">
        <w:rPr>
          <w:bCs/>
          <w:color w:val="000000"/>
          <w:sz w:val="20"/>
          <w:szCs w:val="20"/>
        </w:rPr>
        <w:t>zuständigen kommunalen Stelle</w:t>
      </w:r>
      <w:r w:rsidRPr="00315FD7">
        <w:rPr>
          <w:color w:val="000000"/>
          <w:sz w:val="20"/>
          <w:szCs w:val="20"/>
        </w:rPr>
        <w:t xml:space="preserve">. Informationen zur Befreiung von den KiTa-Gebühren erhalten Sie beim zuständigen </w:t>
      </w:r>
      <w:r w:rsidRPr="00315FD7">
        <w:rPr>
          <w:bCs/>
          <w:color w:val="000000"/>
          <w:sz w:val="20"/>
          <w:szCs w:val="20"/>
        </w:rPr>
        <w:t>Jugendamt</w:t>
      </w:r>
      <w:r w:rsidRPr="00315FD7">
        <w:rPr>
          <w:color w:val="000000"/>
          <w:sz w:val="20"/>
          <w:szCs w:val="20"/>
        </w:rPr>
        <w:t>.</w:t>
      </w:r>
    </w:p>
    <w:p w:rsidR="00945B1B" w:rsidRDefault="00945B1B" w:rsidP="00945B1B">
      <w:pPr>
        <w:pStyle w:val="Pa2"/>
        <w:spacing w:after="40"/>
        <w:rPr>
          <w:color w:val="000000"/>
          <w:sz w:val="20"/>
          <w:szCs w:val="20"/>
        </w:rPr>
      </w:pPr>
      <w:r w:rsidRPr="00315FD7">
        <w:rPr>
          <w:b/>
          <w:bCs/>
          <w:color w:val="000000"/>
        </w:rPr>
        <w:t>N</w:t>
      </w:r>
      <w:r>
        <w:rPr>
          <w:b/>
          <w:bCs/>
          <w:color w:val="000000"/>
        </w:rPr>
        <w:t>och ein Tipp</w:t>
      </w:r>
      <w:r w:rsidRPr="00315FD7">
        <w:rPr>
          <w:b/>
          <w:bCs/>
          <w:color w:val="000000"/>
        </w:rPr>
        <w:t>:</w:t>
      </w:r>
      <w:r>
        <w:rPr>
          <w:b/>
          <w:bCs/>
          <w:color w:val="000000"/>
        </w:rPr>
        <w:t xml:space="preserve"> </w:t>
      </w:r>
      <w:r w:rsidRPr="00315FD7">
        <w:rPr>
          <w:color w:val="000000"/>
          <w:sz w:val="20"/>
          <w:szCs w:val="20"/>
        </w:rPr>
        <w:t xml:space="preserve">Eventuell haben Sie zusätzlich einen Anspruch auf </w:t>
      </w:r>
      <w:r w:rsidRPr="00315FD7">
        <w:rPr>
          <w:b/>
          <w:color w:val="000000"/>
          <w:sz w:val="20"/>
          <w:szCs w:val="20"/>
        </w:rPr>
        <w:t>Wohngeld</w:t>
      </w:r>
      <w:r w:rsidRPr="00315FD7">
        <w:rPr>
          <w:color w:val="000000"/>
          <w:sz w:val="20"/>
          <w:szCs w:val="20"/>
        </w:rPr>
        <w:t xml:space="preserve">. Informationen hierzu erhalten Sie von Ihrer zuständigen </w:t>
      </w:r>
      <w:r w:rsidRPr="00315FD7">
        <w:rPr>
          <w:bCs/>
          <w:color w:val="000000"/>
          <w:sz w:val="20"/>
          <w:szCs w:val="20"/>
        </w:rPr>
        <w:t>Wohngeldstelle</w:t>
      </w:r>
      <w:r w:rsidRPr="00315FD7">
        <w:rPr>
          <w:color w:val="000000"/>
          <w:sz w:val="20"/>
          <w:szCs w:val="20"/>
        </w:rPr>
        <w:t>.</w:t>
      </w:r>
    </w:p>
    <w:p w:rsidR="00945B1B" w:rsidRPr="00315FD7" w:rsidRDefault="00945B1B" w:rsidP="00945B1B">
      <w:pPr>
        <w:rPr>
          <w:rFonts w:ascii="Arial" w:eastAsiaTheme="minorHAnsi" w:hAnsi="Arial" w:cs="Arial"/>
          <w:color w:val="000000"/>
          <w:sz w:val="20"/>
          <w:szCs w:val="20"/>
        </w:rPr>
      </w:pPr>
    </w:p>
    <w:p w:rsidR="00945B1B" w:rsidRPr="00506CBE" w:rsidRDefault="00945B1B" w:rsidP="00945B1B">
      <w:pPr>
        <w:jc w:val="both"/>
        <w:rPr>
          <w:rFonts w:ascii="Arial" w:hAnsi="Arial" w:cs="Arial"/>
          <w:b/>
          <w:sz w:val="24"/>
          <w:szCs w:val="24"/>
        </w:rPr>
      </w:pPr>
      <w:r w:rsidRPr="00506CBE">
        <w:rPr>
          <w:rFonts w:ascii="Arial" w:hAnsi="Arial" w:cs="Arial"/>
          <w:b/>
          <w:sz w:val="24"/>
          <w:szCs w:val="24"/>
        </w:rPr>
        <w:t>Hier erhalten Sie weitere wichtige Informationen zum Kinderzuschlag:</w:t>
      </w:r>
    </w:p>
    <w:p w:rsidR="00945B1B" w:rsidRPr="00D947DC" w:rsidRDefault="00DE669D" w:rsidP="00945B1B">
      <w:pPr>
        <w:shd w:val="clear" w:color="auto" w:fill="FFFFFF"/>
        <w:rPr>
          <w:rFonts w:ascii="Arial" w:hAnsi="Arial" w:cs="Arial"/>
          <w:color w:val="0000FF"/>
          <w:sz w:val="20"/>
          <w:szCs w:val="20"/>
          <w:u w:val="single"/>
        </w:rPr>
      </w:pPr>
      <w:hyperlink r:id="rId7" w:tgtFrame="_blank" w:history="1">
        <w:r w:rsidR="00945B1B">
          <w:rPr>
            <w:rStyle w:val="Hyperlink"/>
            <w:rFonts w:ascii="Arial" w:hAnsi="Arial" w:cs="Arial"/>
            <w:sz w:val="20"/>
            <w:szCs w:val="20"/>
          </w:rPr>
          <w:t>Anspruch, Höhe, Dauer</w:t>
        </w:r>
      </w:hyperlink>
      <w:r w:rsidR="00945B1B">
        <w:rPr>
          <w:rFonts w:ascii="Arial" w:hAnsi="Arial" w:cs="Arial"/>
          <w:color w:val="020E25"/>
          <w:sz w:val="20"/>
          <w:szCs w:val="20"/>
        </w:rPr>
        <w:t xml:space="preserve"> </w:t>
      </w:r>
    </w:p>
    <w:p w:rsidR="00945B1B" w:rsidRDefault="00945B1B" w:rsidP="00945B1B">
      <w:pPr>
        <w:rPr>
          <w:rFonts w:ascii="Arial" w:hAnsi="Arial" w:cs="Arial"/>
          <w:sz w:val="20"/>
          <w:szCs w:val="20"/>
        </w:rPr>
      </w:pPr>
      <w:r>
        <w:rPr>
          <w:rFonts w:ascii="Arial" w:hAnsi="Arial" w:cs="Arial"/>
          <w:sz w:val="20"/>
          <w:szCs w:val="20"/>
        </w:rPr>
        <w:t>Ein Anspruch auf Kinderzuschlag setzt unter anderem voraus, dass die Hilfebedürftigkeit der gesamten Bedarfsgemeinschaft vermieden wird. Das bedeutet, dass der Kinderzuschlag nur dann bewilligt werden kann, wenn durch seine Gewährung kein Anspruch mehr auf Arbeitslosengeld II/Sozialgeld besteht. Darüber hinaus wurde zum 01. Januar 2020 ein erweiterter Zugang eingeführt. Er eröffnet auch Familien, denen mit ihrem Erwerbseinkommen, dem Kindergeld, dem Kinderzuschlag und ggfs. dem Wohngeld höchstens 100 Euro fehlen, um Hilfebedürftigkeit nach dem SGB II zu vermeiden, den Zugang zum Kinderzuschlag.</w:t>
      </w:r>
    </w:p>
    <w:p w:rsidR="00945B1B" w:rsidRDefault="00945B1B" w:rsidP="00945B1B">
      <w:pPr>
        <w:pStyle w:val="Pa2"/>
        <w:spacing w:after="40"/>
        <w:rPr>
          <w:color w:val="000000"/>
          <w:sz w:val="20"/>
          <w:szCs w:val="20"/>
        </w:rPr>
      </w:pPr>
    </w:p>
    <w:p w:rsidR="00945B1B" w:rsidRPr="00506CBE" w:rsidRDefault="00945B1B" w:rsidP="00945B1B">
      <w:pPr>
        <w:shd w:val="clear" w:color="auto" w:fill="FFFFFF"/>
        <w:rPr>
          <w:rFonts w:ascii="Arial" w:hAnsi="Arial" w:cs="Arial"/>
          <w:color w:val="020E25"/>
          <w:sz w:val="20"/>
          <w:szCs w:val="20"/>
        </w:rPr>
      </w:pPr>
      <w:r w:rsidRPr="00506CBE">
        <w:rPr>
          <w:rFonts w:ascii="Arial" w:hAnsi="Arial" w:cs="Arial"/>
          <w:color w:val="020E25"/>
          <w:sz w:val="20"/>
          <w:szCs w:val="20"/>
        </w:rPr>
        <w:t xml:space="preserve">Mit dem </w:t>
      </w:r>
      <w:proofErr w:type="spellStart"/>
      <w:r w:rsidRPr="00506CBE">
        <w:rPr>
          <w:rFonts w:ascii="Arial" w:hAnsi="Arial" w:cs="Arial"/>
          <w:b/>
          <w:color w:val="020E25"/>
          <w:sz w:val="20"/>
          <w:szCs w:val="20"/>
        </w:rPr>
        <w:t>KiZ</w:t>
      </w:r>
      <w:proofErr w:type="spellEnd"/>
      <w:r w:rsidRPr="00506CBE">
        <w:rPr>
          <w:rFonts w:ascii="Arial" w:hAnsi="Arial" w:cs="Arial"/>
          <w:b/>
          <w:color w:val="020E25"/>
          <w:sz w:val="20"/>
          <w:szCs w:val="20"/>
        </w:rPr>
        <w:t>-Lotsen</w:t>
      </w:r>
      <w:r w:rsidRPr="00506CBE">
        <w:rPr>
          <w:rFonts w:ascii="Arial" w:hAnsi="Arial" w:cs="Arial"/>
          <w:color w:val="020E25"/>
          <w:sz w:val="20"/>
          <w:szCs w:val="20"/>
        </w:rPr>
        <w:t xml:space="preserve"> können Sie schnell und einfach feststellen, ob für Sie ein Anspruch auf Kinderzuschlag besteht. Der </w:t>
      </w:r>
      <w:proofErr w:type="spellStart"/>
      <w:r w:rsidRPr="00506CBE">
        <w:rPr>
          <w:rFonts w:ascii="Arial" w:hAnsi="Arial" w:cs="Arial"/>
          <w:color w:val="020E25"/>
          <w:sz w:val="20"/>
          <w:szCs w:val="20"/>
        </w:rPr>
        <w:t>KiZ</w:t>
      </w:r>
      <w:proofErr w:type="spellEnd"/>
      <w:r w:rsidRPr="00506CBE">
        <w:rPr>
          <w:rFonts w:ascii="Arial" w:hAnsi="Arial" w:cs="Arial"/>
          <w:color w:val="020E25"/>
          <w:sz w:val="20"/>
          <w:szCs w:val="20"/>
        </w:rPr>
        <w:t xml:space="preserve">-Lotse ist eine interaktive Berechnungshilfe. Mit wenigen Eingaben wird die persönliche Situation abgefragt und ein Ergebnis angezeigt. Der </w:t>
      </w:r>
      <w:proofErr w:type="spellStart"/>
      <w:r w:rsidRPr="00506CBE">
        <w:rPr>
          <w:rFonts w:ascii="Arial" w:hAnsi="Arial" w:cs="Arial"/>
          <w:color w:val="020E25"/>
          <w:sz w:val="20"/>
          <w:szCs w:val="20"/>
        </w:rPr>
        <w:t>KiZ</w:t>
      </w:r>
      <w:proofErr w:type="spellEnd"/>
      <w:r w:rsidRPr="00506CBE">
        <w:rPr>
          <w:rFonts w:ascii="Arial" w:hAnsi="Arial" w:cs="Arial"/>
          <w:color w:val="020E25"/>
          <w:sz w:val="20"/>
          <w:szCs w:val="20"/>
        </w:rPr>
        <w:t xml:space="preserve">-Lotse ist unter </w:t>
      </w:r>
      <w:hyperlink r:id="rId8" w:history="1">
        <w:r w:rsidRPr="00880991">
          <w:rPr>
            <w:rStyle w:val="Hyperlink"/>
            <w:rFonts w:ascii="Arial" w:hAnsi="Arial" w:cs="Arial"/>
            <w:sz w:val="20"/>
            <w:szCs w:val="20"/>
          </w:rPr>
          <w:t>www.familienkasse.de</w:t>
        </w:r>
      </w:hyperlink>
      <w:r w:rsidRPr="00506CBE">
        <w:rPr>
          <w:rFonts w:ascii="Arial" w:hAnsi="Arial" w:cs="Arial"/>
          <w:color w:val="020E25"/>
          <w:sz w:val="20"/>
          <w:szCs w:val="20"/>
        </w:rPr>
        <w:t xml:space="preserve"> und </w:t>
      </w:r>
      <w:hyperlink r:id="rId9" w:history="1">
        <w:r w:rsidRPr="00880991">
          <w:rPr>
            <w:rStyle w:val="Hyperlink"/>
            <w:rFonts w:ascii="Arial" w:hAnsi="Arial" w:cs="Arial"/>
            <w:sz w:val="20"/>
            <w:szCs w:val="20"/>
          </w:rPr>
          <w:t>www.berufe.tv/kiz-lotse</w:t>
        </w:r>
      </w:hyperlink>
      <w:r w:rsidRPr="00506CBE">
        <w:rPr>
          <w:rFonts w:ascii="Arial" w:hAnsi="Arial" w:cs="Arial"/>
          <w:color w:val="020E25"/>
          <w:sz w:val="20"/>
          <w:szCs w:val="20"/>
        </w:rPr>
        <w:t xml:space="preserve"> verfügbar. </w:t>
      </w:r>
    </w:p>
    <w:p w:rsidR="00945B1B" w:rsidRPr="00506CBE" w:rsidRDefault="00945B1B" w:rsidP="00945B1B">
      <w:pPr>
        <w:shd w:val="clear" w:color="auto" w:fill="FFFFFF"/>
        <w:rPr>
          <w:rFonts w:ascii="Arial" w:hAnsi="Arial" w:cs="Arial"/>
          <w:color w:val="020E25"/>
          <w:sz w:val="20"/>
          <w:szCs w:val="20"/>
        </w:rPr>
      </w:pPr>
    </w:p>
    <w:p w:rsidR="00945B1B" w:rsidRDefault="00945B1B" w:rsidP="00945B1B">
      <w:pPr>
        <w:shd w:val="clear" w:color="auto" w:fill="FFFFFF"/>
        <w:rPr>
          <w:rFonts w:ascii="Arial" w:hAnsi="Arial" w:cs="Arial"/>
          <w:color w:val="020E25"/>
          <w:sz w:val="20"/>
          <w:szCs w:val="20"/>
        </w:rPr>
      </w:pPr>
      <w:r w:rsidRPr="00506CBE">
        <w:rPr>
          <w:rFonts w:ascii="Arial" w:hAnsi="Arial" w:cs="Arial"/>
          <w:color w:val="020E25"/>
          <w:sz w:val="20"/>
          <w:szCs w:val="20"/>
        </w:rPr>
        <w:t xml:space="preserve">Als neuen Kommunikationskanal bietet die Familienkasse die Möglichkeit der </w:t>
      </w:r>
      <w:r w:rsidRPr="00506CBE">
        <w:rPr>
          <w:rFonts w:ascii="Arial" w:hAnsi="Arial" w:cs="Arial"/>
          <w:b/>
          <w:color w:val="020E25"/>
          <w:sz w:val="20"/>
          <w:szCs w:val="20"/>
        </w:rPr>
        <w:t>Videoberatung</w:t>
      </w:r>
      <w:r w:rsidRPr="00506CBE">
        <w:rPr>
          <w:rFonts w:ascii="Arial" w:hAnsi="Arial" w:cs="Arial"/>
          <w:color w:val="020E25"/>
          <w:sz w:val="20"/>
          <w:szCs w:val="20"/>
        </w:rPr>
        <w:t xml:space="preserve"> zu Fragen rund um den Kinderzuschlag an. So sprechen Sie von zu Hause direkt über Ihre Webcam mit einer Beratungsfachkraft der Familienkasse. Um die Videoberatung zu nutzen, muss ein Termin unter der Telefonnummer 0800 4 5555 30 (gebührenfrei) oder bei der zuständigen Familienkasse vor Ort vereinbart werden.</w:t>
      </w:r>
    </w:p>
    <w:p w:rsidR="00945B1B" w:rsidRDefault="00945B1B" w:rsidP="00945B1B">
      <w:pPr>
        <w:rPr>
          <w:rFonts w:ascii="Arial" w:eastAsiaTheme="minorHAnsi" w:hAnsi="Arial" w:cs="Arial"/>
          <w:color w:val="000000"/>
          <w:sz w:val="16"/>
          <w:szCs w:val="16"/>
        </w:rPr>
      </w:pPr>
    </w:p>
    <w:p w:rsidR="00945B1B" w:rsidRPr="00BA30F0" w:rsidRDefault="00945B1B" w:rsidP="00945B1B">
      <w:pPr>
        <w:spacing w:line="256" w:lineRule="auto"/>
        <w:rPr>
          <w:rFonts w:ascii="Arial" w:hAnsi="Arial" w:cs="Arial"/>
          <w:sz w:val="20"/>
          <w:szCs w:val="20"/>
        </w:rPr>
      </w:pPr>
      <w:r w:rsidRPr="00BA30F0">
        <w:rPr>
          <w:rFonts w:ascii="Arial" w:hAnsi="Arial" w:cs="Arial"/>
          <w:sz w:val="20"/>
          <w:szCs w:val="20"/>
        </w:rPr>
        <w:t xml:space="preserve">Sie können übrigens auch </w:t>
      </w:r>
      <w:hyperlink r:id="rId10" w:history="1">
        <w:r w:rsidRPr="00BA30F0">
          <w:rPr>
            <w:rStyle w:val="Hyperlink"/>
            <w:rFonts w:ascii="Arial" w:hAnsi="Arial" w:cs="Arial"/>
            <w:sz w:val="20"/>
            <w:szCs w:val="20"/>
          </w:rPr>
          <w:t>Anträge schnell und direkt online</w:t>
        </w:r>
      </w:hyperlink>
      <w:r w:rsidRPr="00BA30F0">
        <w:rPr>
          <w:rFonts w:ascii="Arial" w:hAnsi="Arial" w:cs="Arial"/>
          <w:sz w:val="20"/>
          <w:szCs w:val="20"/>
        </w:rPr>
        <w:t xml:space="preserve"> </w:t>
      </w:r>
      <w:r>
        <w:rPr>
          <w:rFonts w:ascii="Arial" w:hAnsi="Arial" w:cs="Arial"/>
          <w:sz w:val="20"/>
          <w:szCs w:val="20"/>
        </w:rPr>
        <w:t>stellen</w:t>
      </w:r>
      <w:r w:rsidRPr="00BA30F0">
        <w:rPr>
          <w:rFonts w:ascii="Arial" w:hAnsi="Arial" w:cs="Arial"/>
          <w:sz w:val="20"/>
          <w:szCs w:val="20"/>
        </w:rPr>
        <w:t>.</w:t>
      </w:r>
    </w:p>
    <w:p w:rsidR="00945B1B" w:rsidRPr="00D12905" w:rsidRDefault="00945B1B" w:rsidP="00945B1B"/>
    <w:p w:rsidR="00945B1B" w:rsidRDefault="00945B1B" w:rsidP="00945B1B">
      <w:pPr>
        <w:rPr>
          <w:rFonts w:ascii="Arial" w:hAnsi="Arial" w:cs="Arial"/>
          <w:b/>
          <w:sz w:val="24"/>
          <w:szCs w:val="24"/>
        </w:rPr>
      </w:pPr>
      <w:r>
        <w:rPr>
          <w:rFonts w:ascii="Arial" w:hAnsi="Arial" w:cs="Arial"/>
          <w:b/>
          <w:sz w:val="24"/>
          <w:szCs w:val="24"/>
        </w:rPr>
        <w:t>Haben Sie noch Fragen?</w:t>
      </w:r>
    </w:p>
    <w:p w:rsidR="00945B1B" w:rsidRDefault="00945B1B" w:rsidP="00945B1B">
      <w:pPr>
        <w:rPr>
          <w:rFonts w:ascii="Arial" w:hAnsi="Arial" w:cs="Arial"/>
          <w:sz w:val="20"/>
          <w:szCs w:val="20"/>
        </w:rPr>
      </w:pPr>
      <w:r>
        <w:rPr>
          <w:rFonts w:ascii="Arial" w:hAnsi="Arial" w:cs="Arial"/>
          <w:sz w:val="20"/>
          <w:szCs w:val="20"/>
        </w:rPr>
        <w:t xml:space="preserve">Dann besuchen Sie uns auf unserer Internetseite unter </w:t>
      </w:r>
      <w:hyperlink r:id="rId11" w:history="1">
        <w:r>
          <w:rPr>
            <w:rStyle w:val="Hyperlink"/>
            <w:rFonts w:ascii="Arial" w:hAnsi="Arial" w:cs="Arial"/>
            <w:sz w:val="20"/>
            <w:szCs w:val="20"/>
          </w:rPr>
          <w:t>www.familienkasse.de</w:t>
        </w:r>
      </w:hyperlink>
      <w:r>
        <w:rPr>
          <w:rFonts w:ascii="Arial" w:hAnsi="Arial" w:cs="Arial"/>
          <w:sz w:val="20"/>
          <w:szCs w:val="20"/>
        </w:rPr>
        <w:t xml:space="preserve"> oder kontaktieren Sie die Familienkasse unter der gebührenfreien Hotline 0800/4 555530.</w:t>
      </w:r>
    </w:p>
    <w:p w:rsidR="00945B1B" w:rsidRPr="00B6582B" w:rsidRDefault="00945B1B" w:rsidP="00945B1B">
      <w:pPr>
        <w:spacing w:before="100" w:beforeAutospacing="1" w:after="100" w:afterAutospacing="1"/>
        <w:rPr>
          <w:rFonts w:ascii="Arial" w:hAnsi="Arial" w:cs="Arial"/>
          <w:sz w:val="20"/>
          <w:szCs w:val="20"/>
          <w:lang w:eastAsia="de-DE"/>
        </w:rPr>
      </w:pPr>
      <w:r>
        <w:rPr>
          <w:rFonts w:ascii="Arial" w:hAnsi="Arial" w:cs="Arial"/>
          <w:sz w:val="20"/>
          <w:szCs w:val="20"/>
          <w:lang w:eastAsia="de-DE"/>
        </w:rPr>
        <w:t>Ihre Familienkassen in Nordrhein-Westfalen</w:t>
      </w:r>
      <w:r w:rsidRPr="00B6582B">
        <w:rPr>
          <w:rFonts w:ascii="Arial" w:hAnsi="Arial" w:cs="Arial"/>
          <w:sz w:val="20"/>
          <w:szCs w:val="20"/>
          <w:lang w:eastAsia="de-DE"/>
        </w:rPr>
        <w:br/>
      </w:r>
    </w:p>
    <w:p w:rsidR="00945B1B" w:rsidRPr="00B6582B" w:rsidRDefault="00945B1B" w:rsidP="00945B1B">
      <w:pPr>
        <w:jc w:val="both"/>
        <w:rPr>
          <w:rFonts w:ascii="Arial" w:hAnsi="Arial" w:cs="Arial"/>
          <w:sz w:val="20"/>
          <w:szCs w:val="20"/>
          <w:lang w:eastAsia="de-DE"/>
        </w:rPr>
      </w:pPr>
      <w:r w:rsidRPr="00B6582B">
        <w:rPr>
          <w:rFonts w:ascii="Arial" w:hAnsi="Arial" w:cs="Arial"/>
          <w:b/>
          <w:sz w:val="20"/>
          <w:szCs w:val="20"/>
          <w:lang w:eastAsia="de-DE"/>
        </w:rPr>
        <w:t xml:space="preserve">Internet: </w:t>
      </w:r>
      <w:hyperlink r:id="rId12" w:tgtFrame="_blank" w:history="1">
        <w:r w:rsidRPr="00B6582B">
          <w:rPr>
            <w:rStyle w:val="Hyperlink"/>
            <w:rFonts w:ascii="Arial" w:hAnsi="Arial" w:cs="Arial"/>
            <w:sz w:val="20"/>
            <w:szCs w:val="20"/>
            <w:lang w:eastAsia="de-DE"/>
          </w:rPr>
          <w:t>www.familienkasse.de</w:t>
        </w:r>
      </w:hyperlink>
    </w:p>
    <w:p w:rsidR="00945B1B" w:rsidRDefault="00945B1B" w:rsidP="00945B1B">
      <w:pPr>
        <w:rPr>
          <w:rFonts w:ascii="Arial" w:hAnsi="Arial" w:cs="Arial"/>
          <w:sz w:val="20"/>
          <w:szCs w:val="20"/>
        </w:rPr>
      </w:pPr>
      <w:r w:rsidRPr="00B6582B">
        <w:rPr>
          <w:rFonts w:ascii="Arial" w:hAnsi="Arial" w:cs="Arial"/>
          <w:b/>
          <w:sz w:val="20"/>
          <w:szCs w:val="20"/>
        </w:rPr>
        <w:t xml:space="preserve">Telefon (gebührenfrei): </w:t>
      </w:r>
      <w:r w:rsidRPr="00B6582B">
        <w:rPr>
          <w:rFonts w:ascii="Arial" w:hAnsi="Arial" w:cs="Arial"/>
          <w:sz w:val="20"/>
          <w:szCs w:val="20"/>
        </w:rPr>
        <w:t>0800 4 555530</w:t>
      </w:r>
    </w:p>
    <w:p w:rsidR="00945B1B" w:rsidRDefault="00945B1B" w:rsidP="00945B1B">
      <w:pPr>
        <w:jc w:val="both"/>
        <w:rPr>
          <w:rFonts w:ascii="Arial" w:hAnsi="Arial" w:cs="Arial"/>
          <w:b/>
          <w:sz w:val="20"/>
          <w:szCs w:val="20"/>
        </w:rPr>
      </w:pPr>
    </w:p>
    <w:sectPr w:rsidR="00945B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6.6pt" o:bullet="t">
        <v:imagedata r:id="rId1" o:title="Aufzählungszeichen RotGrau"/>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7"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num w:numId="1">
    <w:abstractNumId w:val="4"/>
  </w:num>
  <w:num w:numId="2">
    <w:abstractNumId w:val="7"/>
  </w:num>
  <w:num w:numId="3">
    <w:abstractNumId w:val="3"/>
  </w:num>
  <w:num w:numId="4">
    <w:abstractNumId w:val="6"/>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2"/>
  </w:num>
  <w:num w:numId="14">
    <w:abstractNumId w:val="1"/>
  </w:num>
  <w:num w:numId="15">
    <w:abstractNumId w:val="0"/>
  </w:num>
  <w:num w:numId="16">
    <w:abstractNumId w:val="7"/>
  </w:num>
  <w:num w:numId="17">
    <w:abstractNumId w:val="6"/>
  </w:num>
  <w:num w:numId="18">
    <w:abstractNumId w:val="2"/>
  </w:num>
  <w:num w:numId="19">
    <w:abstractNumId w:val="1"/>
  </w:num>
  <w:num w:numId="20">
    <w:abstractNumId w:val="0"/>
  </w:num>
  <w:num w:numId="21">
    <w:abstractNumId w:val="7"/>
  </w:num>
  <w:num w:numId="22">
    <w:abstractNumId w:val="6"/>
  </w:num>
  <w:num w:numId="23">
    <w:abstractNumId w:val="2"/>
  </w:num>
  <w:num w:numId="24">
    <w:abstractNumId w:val="1"/>
  </w:num>
  <w:num w:numId="25">
    <w:abstractNumId w:val="0"/>
  </w:num>
  <w:num w:numId="26">
    <w:abstractNumId w:val="7"/>
  </w:num>
  <w:num w:numId="27">
    <w:abstractNumId w:val="6"/>
  </w:num>
  <w:num w:numId="28">
    <w:abstractNumId w:val="2"/>
  </w:num>
  <w:num w:numId="29">
    <w:abstractNumId w:val="1"/>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1B"/>
    <w:rsid w:val="00015DFB"/>
    <w:rsid w:val="002155B6"/>
    <w:rsid w:val="0041163E"/>
    <w:rsid w:val="00425B6F"/>
    <w:rsid w:val="00472DDE"/>
    <w:rsid w:val="005F6EBB"/>
    <w:rsid w:val="00643E50"/>
    <w:rsid w:val="00736B52"/>
    <w:rsid w:val="007D1808"/>
    <w:rsid w:val="008F206C"/>
    <w:rsid w:val="00945B1B"/>
    <w:rsid w:val="00DE6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2E9F-9F0B-4A02-95B7-65C3D6E2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5B1B"/>
    <w:pPr>
      <w:spacing w:after="0" w:line="240" w:lineRule="auto"/>
    </w:pPr>
    <w:rPr>
      <w:rFonts w:ascii="Calibri" w:eastAsia="Times New Roman" w:hAnsi="Calibri" w:cs="Times New Roman"/>
    </w:rPr>
  </w:style>
  <w:style w:type="paragraph" w:styleId="berschrift1">
    <w:name w:val="heading 1"/>
    <w:basedOn w:val="Standard"/>
    <w:next w:val="berschrift2"/>
    <w:link w:val="berschrift1Zchn"/>
    <w:uiPriority w:val="2"/>
    <w:qFormat/>
    <w:rsid w:val="005F6EBB"/>
    <w:pPr>
      <w:spacing w:before="240" w:after="240"/>
      <w:outlineLvl w:val="0"/>
    </w:pPr>
    <w:rPr>
      <w:rFonts w:ascii="Arial" w:eastAsiaTheme="majorEastAsia" w:hAnsi="Arial"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ascii="Arial" w:eastAsiaTheme="majorEastAsia" w:hAnsi="Arial"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ascii="Arial" w:eastAsiaTheme="majorEastAsia" w:hAnsi="Arial"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ascii="Arial" w:eastAsiaTheme="majorEastAsia" w:hAnsi="Arial"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ascii="Arial" w:eastAsiaTheme="majorEastAsia" w:hAnsi="Arial"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ascii="Arial" w:eastAsiaTheme="majorEastAsia" w:hAnsi="Arial"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ascii="Arial" w:eastAsiaTheme="majorEastAsia" w:hAnsi="Arial"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ascii="Arial" w:eastAsiaTheme="majorEastAsia" w:hAnsi="Arial"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ascii="Arial" w:eastAsiaTheme="majorEastAsia" w:hAnsi="Arial"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rFonts w:ascii="Arial" w:eastAsiaTheme="minorHAnsi" w:hAnsi="Arial" w:cstheme="minorBidi"/>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rPr>
      <w:rFonts w:ascii="Arial" w:eastAsiaTheme="minorHAnsi" w:hAnsi="Arial" w:cstheme="minorBidi"/>
    </w:r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ascii="Arial" w:hAnsi="Arial"/>
      <w:i/>
      <w:sz w:val="16"/>
      <w:szCs w:val="20"/>
    </w:rPr>
  </w:style>
  <w:style w:type="paragraph" w:styleId="Textkrper">
    <w:name w:val="Body Text"/>
    <w:basedOn w:val="Standard"/>
    <w:link w:val="TextkrperZchn"/>
    <w:uiPriority w:val="99"/>
    <w:semiHidden/>
    <w:unhideWhenUsed/>
    <w:rsid w:val="005F6EBB"/>
    <w:pPr>
      <w:spacing w:after="120"/>
    </w:pPr>
    <w:rPr>
      <w:rFonts w:ascii="Arial" w:eastAsiaTheme="minorHAnsi" w:hAnsi="Arial" w:cstheme="minorBidi"/>
    </w:r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ascii="Arial" w:hAnsi="Arial"/>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rsid w:val="007D1808"/>
    <w:pPr>
      <w:ind w:left="720"/>
      <w:contextualSpacing/>
    </w:pPr>
    <w:rPr>
      <w:rFonts w:ascii="Arial" w:eastAsiaTheme="minorHAnsi" w:hAnsi="Arial" w:cstheme="minorBidi"/>
    </w:rPr>
  </w:style>
  <w:style w:type="character" w:styleId="Hyperlink">
    <w:name w:val="Hyperlink"/>
    <w:basedOn w:val="Absatz-Standardschriftart"/>
    <w:uiPriority w:val="99"/>
    <w:unhideWhenUsed/>
    <w:rsid w:val="00945B1B"/>
    <w:rPr>
      <w:color w:val="0000FF"/>
      <w:u w:val="single"/>
    </w:rPr>
  </w:style>
  <w:style w:type="paragraph" w:customStyle="1" w:styleId="Pa1">
    <w:name w:val="Pa1"/>
    <w:basedOn w:val="Standard"/>
    <w:next w:val="Standard"/>
    <w:uiPriority w:val="99"/>
    <w:rsid w:val="00945B1B"/>
    <w:pPr>
      <w:autoSpaceDE w:val="0"/>
      <w:autoSpaceDN w:val="0"/>
      <w:adjustRightInd w:val="0"/>
      <w:spacing w:line="241" w:lineRule="atLeast"/>
    </w:pPr>
    <w:rPr>
      <w:rFonts w:ascii="Arial" w:eastAsiaTheme="minorHAnsi" w:hAnsi="Arial" w:cs="Arial"/>
      <w:sz w:val="24"/>
      <w:szCs w:val="24"/>
    </w:rPr>
  </w:style>
  <w:style w:type="paragraph" w:customStyle="1" w:styleId="Pa2">
    <w:name w:val="Pa2"/>
    <w:basedOn w:val="Standard"/>
    <w:next w:val="Standard"/>
    <w:uiPriority w:val="99"/>
    <w:rsid w:val="00945B1B"/>
    <w:pPr>
      <w:autoSpaceDE w:val="0"/>
      <w:autoSpaceDN w:val="0"/>
      <w:adjustRightInd w:val="0"/>
      <w:spacing w:line="161" w:lineRule="atLeast"/>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ienkass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beitsagentur.de/familie-und-kinder/kinderzuschlag-anspruch-hoehe-dauer" TargetMode="External"/><Relationship Id="rId12" Type="http://schemas.openxmlformats.org/officeDocument/2006/relationships/hyperlink" Target="http://www.familienkass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familienkasse.de" TargetMode="External"/><Relationship Id="rId5" Type="http://schemas.openxmlformats.org/officeDocument/2006/relationships/image" Target="media/image2.png"/><Relationship Id="rId10" Type="http://schemas.openxmlformats.org/officeDocument/2006/relationships/hyperlink" Target="https://www.arbeitsagentur.de/familie-und-kinder" TargetMode="External"/><Relationship Id="rId4" Type="http://schemas.openxmlformats.org/officeDocument/2006/relationships/webSettings" Target="webSettings.xml"/><Relationship Id="rId9" Type="http://schemas.openxmlformats.org/officeDocument/2006/relationships/hyperlink" Target="http://www.berufe.tv/kiz-lots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Hieb Renate</dc:creator>
  <cp:keywords/>
  <dc:description/>
  <cp:lastModifiedBy>Schadt, Nina</cp:lastModifiedBy>
  <cp:revision>2</cp:revision>
  <dcterms:created xsi:type="dcterms:W3CDTF">2021-03-01T14:31:00Z</dcterms:created>
  <dcterms:modified xsi:type="dcterms:W3CDTF">2021-03-01T14:31:00Z</dcterms:modified>
</cp:coreProperties>
</file>